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0" w:color="auto" w:fill="FFFFFF"/>
        </w:rPr>
      </w:pPr>
      <w:bookmarkStart w:id="0" w:name="_Hlk32315000"/>
      <w:bookmarkEnd w:id="0"/>
      <w:bookmarkStart w:id="1" w:name="OLE_LINK18"/>
      <w:bookmarkStart w:id="2" w:name="OLE_LINK17"/>
      <w:bookmarkStart w:id="3" w:name="_Hlk77701553"/>
      <w:r>
        <w:rPr>
          <w:rFonts w:ascii="Arial" w:hAnsi="Arial" w:cs="Arial"/>
          <w:b/>
          <w:sz w:val="24"/>
          <w:szCs w:val="28"/>
        </w:rPr>
        <w:t>3GPP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8"/>
        </w:rPr>
        <w:t>TSG RAN WG4 Meeting # 1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10bis</w:t>
      </w:r>
      <w:r>
        <w:rPr>
          <w:rFonts w:ascii="Arial" w:hAnsi="Arial" w:cs="Arial"/>
          <w:b/>
          <w:sz w:val="24"/>
          <w:szCs w:val="28"/>
        </w:rPr>
        <w:t xml:space="preserve">                     R4-2</w:t>
      </w:r>
      <w:r>
        <w:rPr>
          <w:rFonts w:hint="default" w:ascii="Arial" w:hAnsi="Arial" w:cs="Arial"/>
          <w:b/>
          <w:sz w:val="24"/>
          <w:szCs w:val="28"/>
          <w:lang w:val="en-US"/>
        </w:rPr>
        <w:t>4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04903</w:t>
      </w:r>
      <w:bookmarkStart w:id="16" w:name="_GoBack"/>
      <w:bookmarkEnd w:id="16"/>
      <w:r>
        <w:rPr>
          <w:rFonts w:ascii="Arial" w:hAnsi="Arial" w:cs="Arial"/>
          <w:b/>
          <w:sz w:val="24"/>
          <w:szCs w:val="28"/>
        </w:rPr>
        <w:tab/>
      </w:r>
    </w:p>
    <w:p>
      <w:pPr>
        <w:ind w:left="1985" w:hanging="1985"/>
        <w:rPr>
          <w:rFonts w:hint="default"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cs="Arial"/>
          <w:b/>
          <w:sz w:val="24"/>
          <w:szCs w:val="28"/>
        </w:rPr>
        <w:t>Changsha, Hunan Province</w:t>
      </w:r>
      <w:r>
        <w:rPr>
          <w:rFonts w:hint="default" w:ascii="Arial" w:hAnsi="Arial" w:cs="Arial"/>
          <w:b/>
          <w:sz w:val="24"/>
          <w:szCs w:val="28"/>
          <w:lang w:val="en-US"/>
        </w:rPr>
        <w:t>, CN</w:t>
      </w:r>
      <w:r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hint="default" w:ascii="Arial" w:hAnsi="Arial" w:cs="Arial"/>
          <w:b/>
          <w:sz w:val="24"/>
          <w:szCs w:val="28"/>
          <w:lang w:val="en-US"/>
        </w:rPr>
        <w:t>Apr</w:t>
      </w:r>
      <w:r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hint="default" w:ascii="Arial" w:hAnsi="Arial" w:cs="Arial"/>
          <w:b/>
          <w:sz w:val="24"/>
          <w:szCs w:val="28"/>
          <w:lang w:val="en-US"/>
        </w:rPr>
        <w:t xml:space="preserve">15 - </w:t>
      </w:r>
      <w:r>
        <w:rPr>
          <w:rFonts w:hint="eastAsia" w:ascii="Arial" w:hAnsi="Arial" w:cs="Arial"/>
          <w:b/>
          <w:sz w:val="24"/>
          <w:szCs w:val="28"/>
        </w:rPr>
        <w:t>A</w:t>
      </w:r>
      <w:r>
        <w:rPr>
          <w:rFonts w:hint="default" w:ascii="Arial" w:hAnsi="Arial" w:cs="Arial"/>
          <w:b/>
          <w:sz w:val="24"/>
          <w:szCs w:val="28"/>
          <w:lang w:val="en-US"/>
        </w:rPr>
        <w:t>pr</w:t>
      </w:r>
      <w:r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hint="default" w:ascii="Arial" w:hAnsi="Arial" w:cs="Arial"/>
          <w:b/>
          <w:sz w:val="24"/>
          <w:szCs w:val="28"/>
          <w:lang w:val="en-US"/>
        </w:rPr>
        <w:t>19</w:t>
      </w:r>
      <w:r>
        <w:rPr>
          <w:rFonts w:ascii="Arial" w:hAnsi="Arial" w:cs="Arial"/>
          <w:b/>
          <w:sz w:val="24"/>
          <w:szCs w:val="28"/>
        </w:rPr>
        <w:t>, 202</w:t>
      </w:r>
      <w:r>
        <w:rPr>
          <w:rFonts w:hint="default" w:ascii="Arial" w:hAnsi="Arial" w:cs="Arial"/>
          <w:b/>
          <w:sz w:val="24"/>
          <w:szCs w:val="28"/>
          <w:lang w:val="en-US"/>
        </w:rPr>
        <w:t>4</w:t>
      </w:r>
    </w:p>
    <w:bookmarkEnd w:id="1"/>
    <w:bookmarkEnd w:id="2"/>
    <w:p>
      <w:pPr>
        <w:ind w:left="1985" w:hanging="1985"/>
        <w:rPr>
          <w:rFonts w:hint="default" w:ascii="Arial" w:hAnsi="Arial" w:cs="Arial" w:eastAsiaTheme="minorEastAsia"/>
          <w:lang w:val="en-US" w:eastAsia="zh-CN"/>
        </w:rPr>
      </w:pPr>
      <w:r>
        <w:rPr>
          <w:rFonts w:ascii="Arial" w:hAnsi="Arial" w:eastAsia="MS Mincho" w:cs="Arial"/>
          <w:b/>
        </w:rPr>
        <w:t>Title:</w:t>
      </w:r>
      <w:r>
        <w:rPr>
          <w:rFonts w:ascii="Arial" w:hAnsi="Arial" w:eastAsia="MS Mincho" w:cs="Arial"/>
          <w:b/>
        </w:rPr>
        <w:tab/>
      </w:r>
      <w:r>
        <w:rPr>
          <w:rFonts w:ascii="Arial" w:hAnsi="Arial" w:cs="Arial" w:eastAsiaTheme="minorEastAsia"/>
          <w:sz w:val="18"/>
          <w:szCs w:val="18"/>
        </w:rPr>
        <w:t xml:space="preserve">RRM </w:t>
      </w:r>
      <w:r>
        <w:rPr>
          <w:rFonts w:hint="default" w:ascii="Arial" w:hAnsi="Arial" w:cs="Arial" w:eastAsiaTheme="minorEastAsia"/>
          <w:sz w:val="18"/>
          <w:szCs w:val="18"/>
          <w:lang w:val="en-US"/>
        </w:rPr>
        <w:t>Performance</w:t>
      </w:r>
      <w:r>
        <w:rPr>
          <w:rFonts w:ascii="Arial" w:hAnsi="Arial" w:cs="Arial" w:eastAsiaTheme="minorEastAsia"/>
          <w:sz w:val="18"/>
          <w:szCs w:val="18"/>
        </w:rPr>
        <w:t xml:space="preserve"> requirements</w:t>
      </w:r>
      <w:r>
        <w:rPr>
          <w:rFonts w:hint="eastAsia" w:ascii="Arial" w:hAnsi="Arial" w:cs="Arial" w:eastAsiaTheme="minorEastAsia"/>
          <w:sz w:val="18"/>
          <w:szCs w:val="18"/>
          <w:lang w:val="en-US" w:eastAsia="zh-CN"/>
        </w:rPr>
        <w:t xml:space="preserve"> on </w:t>
      </w:r>
      <w:r>
        <w:rPr>
          <w:rFonts w:ascii="Arial" w:hAnsi="Arial" w:cs="Arial" w:eastAsiaTheme="minorEastAsia"/>
          <w:sz w:val="18"/>
          <w:szCs w:val="18"/>
        </w:rPr>
        <w:t>L1/L2 based inter-cell mobility</w:t>
      </w:r>
    </w:p>
    <w:p>
      <w:pPr>
        <w:ind w:left="1985" w:hanging="1985"/>
        <w:rPr>
          <w:rFonts w:eastAsia="宋体"/>
          <w:sz w:val="24"/>
        </w:rPr>
      </w:pPr>
      <w:r>
        <w:rPr>
          <w:rFonts w:ascii="Arial" w:hAnsi="Arial" w:eastAsia="MS Mincho" w:cs="Arial"/>
          <w:b/>
        </w:rPr>
        <w:t>Source:</w:t>
      </w:r>
      <w:r>
        <w:rPr>
          <w:rFonts w:ascii="Arial" w:hAnsi="Arial" w:eastAsia="MS Mincho" w:cs="Arial"/>
          <w:b/>
        </w:rPr>
        <w:tab/>
      </w:r>
      <w:bookmarkStart w:id="4" w:name="OLE_LINK39"/>
      <w:bookmarkStart w:id="5" w:name="OLE_LINK40"/>
      <w:r>
        <w:rPr>
          <w:rFonts w:eastAsia="宋体"/>
          <w:szCs w:val="18"/>
        </w:rPr>
        <w:t>China Telecom</w:t>
      </w:r>
      <w:bookmarkEnd w:id="4"/>
      <w:bookmarkEnd w:id="5"/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eastAsia="MS Mincho" w:cs="Arial"/>
          <w:b/>
          <w:color w:val="000000"/>
        </w:rPr>
        <w:t>Agenda item:</w:t>
      </w:r>
      <w:r>
        <w:rPr>
          <w:rFonts w:ascii="Arial" w:hAnsi="Arial" w:eastAsia="MS Mincho" w:cs="Arial"/>
          <w:b/>
        </w:rPr>
        <w:tab/>
      </w:r>
      <w:r>
        <w:rPr>
          <w:rFonts w:ascii="Arial" w:hAnsi="Arial" w:eastAsia="MS Mincho" w:cs="Arial"/>
          <w:b/>
          <w:lang w:eastAsia="ja-JP"/>
        </w:rPr>
        <w:tab/>
      </w:r>
      <w:r>
        <w:rPr>
          <w:rFonts w:ascii="Arial" w:hAnsi="Arial" w:eastAsia="MS Mincho" w:cs="Arial"/>
          <w:b/>
          <w:lang w:eastAsia="ja-JP"/>
        </w:rPr>
        <w:tab/>
      </w:r>
      <w:r>
        <w:rPr>
          <w:rFonts w:hint="eastAsia" w:eastAsia="宋体"/>
          <w:lang w:val="en-US" w:eastAsia="zh-CN"/>
        </w:rPr>
        <w:t>6.14.</w:t>
      </w:r>
      <w:r>
        <w:rPr>
          <w:rFonts w:hint="default" w:eastAsia="宋体"/>
          <w:lang w:val="en-US" w:eastAsia="zh-CN"/>
        </w:rPr>
        <w:t>2.1</w:t>
      </w:r>
    </w:p>
    <w:p>
      <w:pPr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eastAsia="MS Mincho" w:cs="Arial"/>
          <w:b/>
          <w:color w:val="000000"/>
        </w:rPr>
        <w:t>Document for:</w:t>
      </w:r>
      <w:r>
        <w:rPr>
          <w:rFonts w:ascii="Arial" w:hAnsi="Arial" w:eastAsia="MS Mincho" w:cs="Arial"/>
          <w:b/>
          <w:color w:val="000000"/>
        </w:rPr>
        <w:tab/>
      </w:r>
      <w:r>
        <w:rPr>
          <w:color w:val="000000"/>
        </w:rPr>
        <w:t>Discussion</w:t>
      </w:r>
    </w:p>
    <w:bookmarkEnd w:id="3"/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contextualSpacing/>
        <w:jc w:val="left"/>
        <w:outlineLvl w:val="0"/>
        <w:rPr>
          <w:rFonts w:ascii="Arial" w:hAnsi="Arial" w:eastAsia="等线"/>
          <w:sz w:val="36"/>
          <w:szCs w:val="36"/>
        </w:rPr>
      </w:pPr>
      <w:r>
        <w:rPr>
          <w:rFonts w:ascii="Arial" w:hAnsi="Arial" w:eastAsia="等线"/>
          <w:sz w:val="36"/>
          <w:szCs w:val="36"/>
        </w:rPr>
        <w:t>Introduction</w:t>
      </w:r>
    </w:p>
    <w:p>
      <w:pPr>
        <w:pStyle w:val="53"/>
        <w:rPr>
          <w:rFonts w:eastAsia="宋体"/>
        </w:rPr>
      </w:pPr>
      <w:r>
        <w:rPr>
          <w:rFonts w:eastAsia="宋体"/>
        </w:rPr>
        <w:t>In the RAN4 #1</w:t>
      </w:r>
      <w:r>
        <w:rPr>
          <w:rFonts w:hint="eastAsia" w:eastAsia="宋体"/>
          <w:lang w:val="en-US" w:eastAsia="zh-CN"/>
        </w:rPr>
        <w:t>10</w:t>
      </w:r>
      <w:r>
        <w:rPr>
          <w:rFonts w:eastAsia="宋体"/>
        </w:rPr>
        <w:t xml:space="preserve"> meeting, the L1/L2 based inter-cell mobility were discussed </w:t>
      </w:r>
      <w:bookmarkStart w:id="6" w:name="OLE_LINK2"/>
      <w:bookmarkStart w:id="7" w:name="OLE_LINK1"/>
      <w:r>
        <w:rPr>
          <w:rFonts w:eastAsia="宋体"/>
        </w:rPr>
        <w:t xml:space="preserve">and WF [1] has been approved. </w:t>
      </w:r>
      <w:bookmarkEnd w:id="6"/>
      <w:bookmarkEnd w:id="7"/>
      <w:r>
        <w:rPr>
          <w:rFonts w:eastAsia="宋体"/>
        </w:rPr>
        <w:t>In this paper, some issues are further discussed.</w:t>
      </w:r>
    </w:p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jc w:val="left"/>
        <w:outlineLvl w:val="0"/>
        <w:rPr>
          <w:rFonts w:hint="eastAsia" w:eastAsiaTheme="minorEastAsia"/>
          <w:b/>
        </w:rPr>
      </w:pPr>
      <w:r>
        <w:rPr>
          <w:rFonts w:ascii="Arial" w:hAnsi="Arial" w:eastAsia="等线"/>
          <w:sz w:val="36"/>
          <w:szCs w:val="20"/>
        </w:rPr>
        <w:t>Discussion</w:t>
      </w:r>
      <w:bookmarkStart w:id="8" w:name="_Hlk135408036"/>
      <w:bookmarkStart w:id="9" w:name="OLE_LINK38"/>
      <w:bookmarkStart w:id="10" w:name="OLE_LINK37"/>
      <w:bookmarkStart w:id="11" w:name="OLE_LINK109"/>
      <w:bookmarkStart w:id="12" w:name="OLE_LINK108"/>
    </w:p>
    <w:p>
      <w:pPr>
        <w:spacing w:after="120" w:afterLines="50"/>
        <w:rPr>
          <w:rFonts w:hint="eastAsia"/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u w:val="single"/>
        </w:rPr>
        <w:t xml:space="preserve">Issue 5-3-2: </w:t>
      </w:r>
      <w:r>
        <w:rPr>
          <w:b/>
          <w:color w:val="000000" w:themeColor="text1"/>
          <w:u w:val="single"/>
          <w:lang w:val="en-US" w:eastAsia="ko-KR"/>
          <w14:textFill>
            <w14:solidFill>
              <w14:schemeClr w14:val="tx1"/>
            </w14:solidFill>
          </w14:textFill>
        </w:rPr>
        <w:t>Procedures and configurations of test cases on PDCCH-order RACH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rPr>
          <w:jc w:val="center"/>
        </w:trPr>
        <w:tc>
          <w:tcPr>
            <w:tcW w:w="8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b/>
              </w:rPr>
              <w:t xml:space="preserve">&lt; Way Forward&gt; </w:t>
            </w:r>
            <w:r>
              <w:rPr>
                <w:rFonts w:eastAsia="等线"/>
                <w:lang w:eastAsia="zh-CN"/>
              </w:rPr>
              <w:t>Further discuss the following option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Use the following procedure as a reference in test cases for PDCCH-order RACH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2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376" w:firstLineChars="0"/>
              <w:contextualSpacing/>
              <w:jc w:val="both"/>
              <w:textAlignment w:val="auto"/>
              <w:rPr>
                <w:rFonts w:eastAsia="MS Mincho"/>
                <w:lang w:val="en-US" w:eastAsia="en-US"/>
              </w:rPr>
            </w:pPr>
            <w:r>
              <w:rPr>
                <w:lang w:eastAsia="zh-CN"/>
              </w:rPr>
              <w:t>Test preparation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3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96" w:firstLineChars="0"/>
              <w:contextualSpacing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Configuration for Candidate cell, L3 measurement and L1 measurement, early UL sync are configured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3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96" w:firstLineChars="0"/>
              <w:contextualSpacing/>
              <w:jc w:val="both"/>
              <w:textAlignment w:val="auto"/>
              <w:rPr>
                <w:lang w:eastAsia="zh-CN"/>
              </w:rPr>
            </w:pPr>
            <w:r>
              <w:t>Before the test, TE has received valid L1 measurement report on the target cell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2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376" w:firstLineChars="0"/>
              <w:contextualSpacing/>
              <w:jc w:val="both"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T1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3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96" w:firstLineChars="0"/>
              <w:contextualSpacing/>
              <w:jc w:val="both"/>
              <w:textAlignment w:val="auto"/>
            </w:pPr>
            <w:r>
              <w:t>T1 starts from network activating TCI state of target cell.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3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96" w:firstLineChars="0"/>
              <w:contextualSpacing/>
              <w:jc w:val="both"/>
              <w:textAlignment w:val="auto"/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f UE does not support early TCI state activation, skip T1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2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376" w:firstLineChars="0"/>
              <w:contextualSpacing/>
              <w:jc w:val="both"/>
              <w:textAlignment w:val="auto"/>
            </w:pPr>
            <w:r>
              <w:t>T2 starts from UE receiving the PDCCH order. The duration of T2 covers PDCCH-order RACH delay, RACH transmission and the time needed to retuning back to serving cell.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3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96" w:firstLineChars="0"/>
              <w:contextualSpacing/>
              <w:jc w:val="both"/>
              <w:textAlignment w:val="auto"/>
            </w:pPr>
            <w:r>
              <w:rPr>
                <w:lang w:eastAsia="zh-CN"/>
              </w:rPr>
              <w:t>The time gap between PDCCH-order and TCI sate activation command is longer than the time duration to be discussed in core part.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3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96" w:firstLineChars="0"/>
              <w:contextualSpacing/>
              <w:jc w:val="both"/>
              <w:textAlignment w:val="auto"/>
            </w:pPr>
            <w:r>
              <w:rPr>
                <w:lang w:eastAsia="zh-CN"/>
              </w:rPr>
              <w:t>Check PDCCH-order RACH delay and interruption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3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96" w:firstLineChars="0"/>
              <w:contextualSpacing/>
              <w:jc w:val="both"/>
              <w:textAlignment w:val="auto"/>
              <w:rPr>
                <w:rFonts w:hint="eastAsia" w:eastAsia="宋体"/>
                <w:kern w:val="0"/>
                <w:sz w:val="20"/>
                <w:szCs w:val="24"/>
                <w:lang w:val="en-GB"/>
              </w:rPr>
            </w:pPr>
            <w:r>
              <w:rPr>
                <w:lang w:eastAsia="zh-CN"/>
              </w:rPr>
              <w:t>Check the delay and interruption that UE retunes back to serving cell</w:t>
            </w:r>
          </w:p>
        </w:tc>
      </w:tr>
    </w:tbl>
    <w:p>
      <w:pPr>
        <w:rPr>
          <w:rFonts w:hint="default" w:eastAsia="宋体"/>
          <w:lang w:val="en-US" w:eastAsia="ko-KR"/>
        </w:rPr>
      </w:pPr>
      <w:r>
        <w:rPr>
          <w:rFonts w:hint="eastAsia" w:eastAsia="宋体"/>
          <w:lang w:val="en-US" w:eastAsia="zh-CN"/>
        </w:rPr>
        <w:t>In RAN4 meeting # 110</w:t>
      </w:r>
      <w:r>
        <w:rPr>
          <w:rFonts w:hint="default" w:eastAsia="宋体"/>
          <w:lang w:val="en-US" w:eastAsia="zh-CN"/>
        </w:rPr>
        <w:t xml:space="preserve">, we discussed the issue </w:t>
      </w:r>
      <w:r>
        <w:rPr>
          <w:rFonts w:hint="default" w:eastAsia="宋体"/>
          <w:lang w:val="en-US" w:eastAsia="ko-KR"/>
        </w:rPr>
        <w:t>Further clarification on the condition when additional time for DL synchronization needed in the delay requirements for PDCCH ordered RACH before cell switch command.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</w:t>
      </w:r>
      <w:r>
        <w:rPr>
          <w:rFonts w:hint="default" w:eastAsia="宋体"/>
          <w:lang w:val="en-US" w:eastAsia="zh-CN"/>
        </w:rPr>
        <w:t xml:space="preserve">s the WF saying, if UE does not support early TCI state activation, skip T1. In this case, if </w:t>
      </w:r>
      <w:r>
        <w:rPr>
          <w:rFonts w:cstheme="minorHAnsi"/>
          <w:bCs/>
          <w:lang w:eastAsia="zh-CN"/>
        </w:rPr>
        <w:t>the measurement period of L1-RSRP is longer than 160ms, additional delay is needed for fine time tracking</w:t>
      </w:r>
      <w:r>
        <w:rPr>
          <w:rFonts w:hint="default" w:cstheme="minorHAnsi"/>
          <w:bCs/>
          <w:lang w:val="en-US" w:eastAsia="zh-CN"/>
        </w:rPr>
        <w:t>,</w:t>
      </w:r>
      <w:r>
        <w:rPr>
          <w:rFonts w:hint="eastAsia" w:cstheme="minorHAnsi"/>
          <w:bCs/>
          <w:lang w:val="en-US" w:eastAsia="zh-CN"/>
        </w:rPr>
        <w:t xml:space="preserve"> </w:t>
      </w:r>
      <w:r>
        <w:rPr>
          <w:rFonts w:hint="default"/>
          <w:lang w:val="en-US"/>
        </w:rPr>
        <w:t>t</w:t>
      </w:r>
      <w:r>
        <w:t>he duration of T2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may need the time for </w:t>
      </w:r>
      <w:r>
        <w:rPr>
          <w:rFonts w:cstheme="minorHAnsi"/>
          <w:bCs/>
          <w:lang w:eastAsia="zh-CN"/>
        </w:rPr>
        <w:t>fine time tracking</w:t>
      </w:r>
      <w:r>
        <w:rPr>
          <w:rFonts w:hint="default" w:cstheme="minorHAnsi"/>
          <w:bCs/>
          <w:lang w:val="en-US" w:eastAsia="zh-CN"/>
        </w:rPr>
        <w:t>. We think w</w:t>
      </w:r>
      <w:r>
        <w:rPr>
          <w:rFonts w:hint="eastAsia" w:cstheme="minorHAnsi"/>
          <w:bCs/>
          <w:lang w:val="en-US" w:eastAsia="zh-CN"/>
        </w:rPr>
        <w:t>h</w:t>
      </w:r>
      <w:r>
        <w:rPr>
          <w:rFonts w:hint="default" w:cstheme="minorHAnsi"/>
          <w:bCs/>
          <w:lang w:val="en-US" w:eastAsia="zh-CN"/>
        </w:rPr>
        <w:t>ether</w:t>
      </w:r>
      <w:r>
        <w:rPr>
          <w:rFonts w:hint="eastAsia" w:cstheme="minorHAnsi"/>
          <w:bCs/>
          <w:lang w:val="en-US" w:eastAsia="zh-CN"/>
        </w:rPr>
        <w:t xml:space="preserve"> specify this</w:t>
      </w:r>
      <w:r>
        <w:rPr>
          <w:rFonts w:hint="default" w:cstheme="minorHAnsi"/>
          <w:bCs/>
          <w:lang w:val="en-US" w:eastAsia="zh-CN"/>
        </w:rPr>
        <w:t xml:space="preserve"> case separately</w:t>
      </w:r>
      <w:r>
        <w:rPr>
          <w:rFonts w:hint="eastAsia" w:cstheme="minorHAnsi"/>
          <w:bCs/>
          <w:lang w:val="en-US" w:eastAsia="zh-CN"/>
        </w:rPr>
        <w:t>.</w:t>
      </w:r>
      <w:r>
        <w:rPr>
          <w:rFonts w:hint="default" w:cstheme="minorHAnsi"/>
          <w:bCs/>
          <w:lang w:val="en-US" w:eastAsia="zh-CN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1" w:after="60" w:afterAutospacing="0" w:line="288" w:lineRule="auto"/>
        <w:ind w:left="0" w:right="0"/>
        <w:jc w:val="both"/>
        <w:rPr>
          <w:rFonts w:hint="default" w:ascii="Times New Roman Bold" w:hAnsi="Times New Roman Bold" w:cs="Times New Roman Bold" w:eastAsiaTheme="minorEastAsia"/>
          <w:b/>
          <w:bCs w:val="0"/>
          <w:lang w:eastAsia="en-US"/>
        </w:rPr>
      </w:pPr>
      <w:r>
        <w:rPr>
          <w:rFonts w:hint="default" w:ascii="Times New Roman Bold" w:hAnsi="Times New Roman Bold" w:cs="Times New Roman Bold" w:eastAsiaTheme="minorEastAsia"/>
          <w:b/>
          <w:bCs w:val="0"/>
        </w:rPr>
        <w:t>Proposal 1:</w:t>
      </w:r>
      <w:r>
        <w:rPr>
          <w:rFonts w:hint="default" w:ascii="Times New Roman Bold" w:hAnsi="Times New Roman Bold" w:cs="Times New Roman Bold"/>
          <w:b/>
          <w:bCs w:val="0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lang w:val="en-US"/>
        </w:rPr>
        <w:t xml:space="preserve">Whether specify the case where </w:t>
      </w:r>
      <w:r>
        <w:rPr>
          <w:rFonts w:hint="default" w:ascii="Times New Roman Bold" w:hAnsi="Times New Roman Bold" w:eastAsia="宋体" w:cs="Times New Roman Bold"/>
          <w:b/>
          <w:bCs w:val="0"/>
          <w:lang w:val="en-US" w:eastAsia="zh-CN"/>
        </w:rPr>
        <w:t xml:space="preserve">UE does not support early TCI state activation and </w:t>
      </w:r>
      <w:r>
        <w:rPr>
          <w:rFonts w:hint="default" w:ascii="Times New Roman Bold" w:hAnsi="Times New Roman Bold" w:cs="Times New Roman Bold"/>
          <w:b/>
          <w:bCs w:val="0"/>
          <w:lang w:eastAsia="zh-CN"/>
        </w:rPr>
        <w:t>the measurement period of L1-RSRP is longer than 160ms</w:t>
      </w:r>
      <w:r>
        <w:rPr>
          <w:rFonts w:hint="default" w:ascii="Times New Roman Bold" w:hAnsi="Times New Roman Bold" w:cs="Times New Roman Bold"/>
          <w:b/>
          <w:bCs w:val="0"/>
          <w:lang w:val="en-US" w:eastAsia="zh-CN"/>
        </w:rPr>
        <w:t xml:space="preserve"> </w:t>
      </w:r>
      <w:r>
        <w:rPr>
          <w:rFonts w:hint="default" w:ascii="Times New Roman Bold" w:hAnsi="Times New Roman Bold" w:eastAsia="Times New Roman" w:cs="Times New Roman Bold"/>
          <w:b/>
          <w:bCs w:val="0"/>
          <w:kern w:val="2"/>
          <w:sz w:val="21"/>
          <w:szCs w:val="21"/>
          <w:lang w:val="en-US" w:eastAsia="zh-CN" w:bidi="ar"/>
        </w:rPr>
        <w:t>separately</w:t>
      </w:r>
      <w:r>
        <w:rPr>
          <w:rFonts w:hint="default" w:ascii="Times New Roman Bold" w:hAnsi="Times New Roman Bold" w:cs="Times New Roman Bold" w:eastAsiaTheme="minorEastAsia"/>
          <w:b/>
          <w:bCs w:val="0"/>
        </w:rPr>
        <w:t>.</w:t>
      </w:r>
    </w:p>
    <w:bookmarkEnd w:id="8"/>
    <w:bookmarkEnd w:id="9"/>
    <w:bookmarkEnd w:id="10"/>
    <w:bookmarkEnd w:id="11"/>
    <w:bookmarkEnd w:id="12"/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jc w:val="left"/>
        <w:outlineLvl w:val="0"/>
        <w:rPr>
          <w:rFonts w:ascii="Arial" w:hAnsi="Arial" w:eastAsia="等线"/>
          <w:sz w:val="36"/>
          <w:szCs w:val="20"/>
        </w:rPr>
      </w:pPr>
      <w:r>
        <w:rPr>
          <w:rFonts w:ascii="Arial" w:hAnsi="Arial" w:eastAsia="等线"/>
          <w:sz w:val="36"/>
          <w:szCs w:val="20"/>
        </w:rPr>
        <w:t>Summary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88" w:lineRule="auto"/>
        <w:textAlignment w:val="auto"/>
        <w:rPr>
          <w:rFonts w:eastAsia="等线"/>
        </w:rPr>
      </w:pPr>
      <w:bookmarkStart w:id="13" w:name="OLE_LINK51"/>
      <w:r>
        <w:rPr>
          <w:rFonts w:eastAsia="等线"/>
        </w:rPr>
        <w:t>In th</w:t>
      </w:r>
      <w:bookmarkStart w:id="14" w:name="OLE_LINK21"/>
      <w:bookmarkStart w:id="15" w:name="OLE_LINK20"/>
      <w:r>
        <w:rPr>
          <w:rFonts w:eastAsia="等线"/>
        </w:rPr>
        <w:t>is p</w:t>
      </w:r>
      <w:bookmarkEnd w:id="14"/>
      <w:bookmarkEnd w:id="15"/>
      <w:r>
        <w:rPr>
          <w:rFonts w:eastAsia="等线"/>
        </w:rPr>
        <w:t>aper, we provide our views on</w:t>
      </w:r>
      <w:r>
        <w:t xml:space="preserve"> </w:t>
      </w:r>
      <w:r>
        <w:rPr>
          <w:rFonts w:hint="eastAsia"/>
        </w:rPr>
        <w:t>L1/L2 based inter-cell mobility</w:t>
      </w:r>
      <w:r>
        <w:rPr>
          <w:rFonts w:eastAsia="等线"/>
        </w:rPr>
        <w:t xml:space="preserve">. From this discussion we have derived the following proposals: </w:t>
      </w:r>
    </w:p>
    <w:bookmarkEnd w:id="13"/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/>
        <w:jc w:val="both"/>
        <w:textAlignment w:val="auto"/>
        <w:rPr>
          <w:rFonts w:hint="default" w:ascii="Times New Roman Bold" w:hAnsi="Times New Roman Bold" w:eastAsia="宋体" w:cs="Times New Roman Bold"/>
          <w:b/>
          <w:bCs w:val="0"/>
          <w:kern w:val="2"/>
          <w:sz w:val="21"/>
          <w:szCs w:val="21"/>
        </w:rPr>
      </w:pPr>
      <w:r>
        <w:rPr>
          <w:rFonts w:hint="default" w:ascii="Times New Roman Bold" w:hAnsi="Times New Roman Bold" w:eastAsia="宋体" w:cs="Times New Roman Bold"/>
          <w:b/>
          <w:bCs w:val="0"/>
          <w:kern w:val="2"/>
          <w:sz w:val="21"/>
          <w:szCs w:val="21"/>
          <w:lang w:val="en-US" w:eastAsia="zh-CN" w:bidi="ar"/>
        </w:rPr>
        <w:t>Proposal 1:</w:t>
      </w:r>
      <w:r>
        <w:rPr>
          <w:rFonts w:hint="default" w:ascii="Times New Roman Bold" w:hAnsi="Times New Roman Bold" w:eastAsia="Times New Roman" w:cs="Times New Roman Bold"/>
          <w:b/>
          <w:bCs w:val="0"/>
          <w:kern w:val="2"/>
          <w:sz w:val="21"/>
          <w:szCs w:val="21"/>
          <w:lang w:val="en-US" w:eastAsia="zh-CN" w:bidi="ar"/>
        </w:rPr>
        <w:t xml:space="preserve"> Whether specify the case where </w:t>
      </w:r>
      <w:r>
        <w:rPr>
          <w:rFonts w:hint="default" w:ascii="Times New Roman Bold" w:hAnsi="Times New Roman Bold" w:eastAsia="宋体" w:cs="Times New Roman Bold"/>
          <w:b/>
          <w:bCs w:val="0"/>
          <w:kern w:val="2"/>
          <w:sz w:val="21"/>
          <w:szCs w:val="21"/>
          <w:lang w:val="en-US" w:eastAsia="zh-CN" w:bidi="ar"/>
        </w:rPr>
        <w:t xml:space="preserve">UE does not support early TCI state activation and </w:t>
      </w:r>
      <w:r>
        <w:rPr>
          <w:rFonts w:hint="default" w:ascii="Times New Roman Bold" w:hAnsi="Times New Roman Bold" w:eastAsia="Times New Roman" w:cs="Times New Roman Bold"/>
          <w:b/>
          <w:bCs w:val="0"/>
          <w:kern w:val="2"/>
          <w:sz w:val="21"/>
          <w:szCs w:val="21"/>
          <w:lang w:val="en-US" w:eastAsia="zh-CN" w:bidi="ar"/>
        </w:rPr>
        <w:t>the measurement period of L1-RSRP is longer than 160ms separately</w:t>
      </w:r>
      <w:r>
        <w:rPr>
          <w:rFonts w:hint="default" w:ascii="Times New Roman Bold" w:hAnsi="Times New Roman Bold" w:eastAsia="宋体" w:cs="Times New Roman Bold"/>
          <w:b/>
          <w:bCs w:val="0"/>
          <w:kern w:val="2"/>
          <w:sz w:val="21"/>
          <w:szCs w:val="21"/>
          <w:lang w:val="en-US" w:eastAsia="zh-CN" w:bidi="ar"/>
        </w:rPr>
        <w:t>.</w:t>
      </w:r>
    </w:p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jc w:val="left"/>
        <w:outlineLvl w:val="0"/>
        <w:rPr>
          <w:rFonts w:ascii="Arial" w:hAnsi="Arial" w:eastAsia="等线"/>
          <w:sz w:val="36"/>
          <w:szCs w:val="36"/>
        </w:rPr>
      </w:pPr>
      <w:r>
        <w:rPr>
          <w:rFonts w:ascii="Arial" w:hAnsi="Arial" w:eastAsia="等线"/>
          <w:sz w:val="36"/>
          <w:szCs w:val="20"/>
        </w:rPr>
        <w:t>References</w:t>
      </w:r>
    </w:p>
    <w:p>
      <w:pPr>
        <w:rPr>
          <w:rFonts w:eastAsia="等线"/>
        </w:rPr>
      </w:pPr>
      <w:r>
        <w:rPr>
          <w:rFonts w:eastAsia="等线"/>
        </w:rPr>
        <w:t xml:space="preserve">[1] </w:t>
      </w:r>
      <w:r>
        <w:rPr>
          <w:rFonts w:hint="eastAsia" w:eastAsia="等线"/>
        </w:rPr>
        <w:t>R4-2403385</w:t>
      </w:r>
      <w:r>
        <w:rPr>
          <w:rFonts w:eastAsia="等线"/>
        </w:rPr>
        <w:t xml:space="preserve">, </w:t>
      </w:r>
      <w:r>
        <w:rPr>
          <w:rFonts w:hint="eastAsia" w:eastAsia="等线"/>
        </w:rPr>
        <w:t>WF on NR mobility enhancements (part 1)</w:t>
      </w:r>
      <w:r>
        <w:rPr>
          <w:rFonts w:eastAsia="等线"/>
        </w:rPr>
        <w:t>, MediaTek Inc.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pStyle w:val="68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39"/>
      <w:lvlText w:val=""/>
      <w:lvlJc w:val="left"/>
      <w:pPr>
        <w:tabs>
          <w:tab w:val="left" w:pos="644"/>
        </w:tabs>
        <w:ind w:left="64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hint="default" w:ascii="Wingdings" w:hAnsi="Wingdings"/>
      </w:r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1C"/>
    <w:rsid w:val="0001433F"/>
    <w:rsid w:val="000147CE"/>
    <w:rsid w:val="00033FA4"/>
    <w:rsid w:val="00041BAE"/>
    <w:rsid w:val="000557A9"/>
    <w:rsid w:val="0006333E"/>
    <w:rsid w:val="00073305"/>
    <w:rsid w:val="00093933"/>
    <w:rsid w:val="0009671C"/>
    <w:rsid w:val="00097F39"/>
    <w:rsid w:val="000A2058"/>
    <w:rsid w:val="000A2109"/>
    <w:rsid w:val="000B5C08"/>
    <w:rsid w:val="000B5F58"/>
    <w:rsid w:val="000B6D56"/>
    <w:rsid w:val="000C0B19"/>
    <w:rsid w:val="000C13CA"/>
    <w:rsid w:val="000C2691"/>
    <w:rsid w:val="000C4D28"/>
    <w:rsid w:val="000D16B9"/>
    <w:rsid w:val="000D1E23"/>
    <w:rsid w:val="000D40B4"/>
    <w:rsid w:val="000D42BB"/>
    <w:rsid w:val="000D5336"/>
    <w:rsid w:val="000D6CB0"/>
    <w:rsid w:val="000D7946"/>
    <w:rsid w:val="000E013F"/>
    <w:rsid w:val="000E15CD"/>
    <w:rsid w:val="000E4C6F"/>
    <w:rsid w:val="000E4CBE"/>
    <w:rsid w:val="000E5060"/>
    <w:rsid w:val="000F5EC6"/>
    <w:rsid w:val="00106452"/>
    <w:rsid w:val="00116803"/>
    <w:rsid w:val="00117039"/>
    <w:rsid w:val="001230D8"/>
    <w:rsid w:val="00124E7B"/>
    <w:rsid w:val="001373F3"/>
    <w:rsid w:val="00140B12"/>
    <w:rsid w:val="0014139B"/>
    <w:rsid w:val="0014149C"/>
    <w:rsid w:val="00150769"/>
    <w:rsid w:val="00150F40"/>
    <w:rsid w:val="00152660"/>
    <w:rsid w:val="001621AF"/>
    <w:rsid w:val="00163038"/>
    <w:rsid w:val="0017293B"/>
    <w:rsid w:val="00176B3F"/>
    <w:rsid w:val="00177428"/>
    <w:rsid w:val="00177B6C"/>
    <w:rsid w:val="001830DF"/>
    <w:rsid w:val="0018374E"/>
    <w:rsid w:val="00186344"/>
    <w:rsid w:val="001906B9"/>
    <w:rsid w:val="00196F33"/>
    <w:rsid w:val="001A1338"/>
    <w:rsid w:val="001A1BA2"/>
    <w:rsid w:val="001A3247"/>
    <w:rsid w:val="001B4190"/>
    <w:rsid w:val="001B485F"/>
    <w:rsid w:val="001B692E"/>
    <w:rsid w:val="001C0CA8"/>
    <w:rsid w:val="001C1886"/>
    <w:rsid w:val="001C5544"/>
    <w:rsid w:val="001D5518"/>
    <w:rsid w:val="001F0691"/>
    <w:rsid w:val="001F374A"/>
    <w:rsid w:val="001F4EFC"/>
    <w:rsid w:val="0020324D"/>
    <w:rsid w:val="00204668"/>
    <w:rsid w:val="00212662"/>
    <w:rsid w:val="00216279"/>
    <w:rsid w:val="002262A2"/>
    <w:rsid w:val="00233F2B"/>
    <w:rsid w:val="00237688"/>
    <w:rsid w:val="0024614E"/>
    <w:rsid w:val="002473B4"/>
    <w:rsid w:val="0025584C"/>
    <w:rsid w:val="002559F4"/>
    <w:rsid w:val="00262B34"/>
    <w:rsid w:val="00263329"/>
    <w:rsid w:val="00265833"/>
    <w:rsid w:val="0027146B"/>
    <w:rsid w:val="00276EC2"/>
    <w:rsid w:val="00284C00"/>
    <w:rsid w:val="0028798E"/>
    <w:rsid w:val="00296C28"/>
    <w:rsid w:val="002A03A1"/>
    <w:rsid w:val="002A045A"/>
    <w:rsid w:val="002A0E49"/>
    <w:rsid w:val="002B048B"/>
    <w:rsid w:val="002B4653"/>
    <w:rsid w:val="002B65A0"/>
    <w:rsid w:val="002B7CCB"/>
    <w:rsid w:val="002C229B"/>
    <w:rsid w:val="002D0F4E"/>
    <w:rsid w:val="002D0FDF"/>
    <w:rsid w:val="002D3171"/>
    <w:rsid w:val="002D5C8D"/>
    <w:rsid w:val="002E5446"/>
    <w:rsid w:val="002E691E"/>
    <w:rsid w:val="00301200"/>
    <w:rsid w:val="003019FB"/>
    <w:rsid w:val="00302414"/>
    <w:rsid w:val="00307F0C"/>
    <w:rsid w:val="0031027C"/>
    <w:rsid w:val="00311997"/>
    <w:rsid w:val="00311D9C"/>
    <w:rsid w:val="00312A3A"/>
    <w:rsid w:val="00312DBE"/>
    <w:rsid w:val="00316413"/>
    <w:rsid w:val="0032013F"/>
    <w:rsid w:val="00325623"/>
    <w:rsid w:val="0032673F"/>
    <w:rsid w:val="003324B4"/>
    <w:rsid w:val="00343D0B"/>
    <w:rsid w:val="003524C2"/>
    <w:rsid w:val="0035622D"/>
    <w:rsid w:val="00357976"/>
    <w:rsid w:val="003616AE"/>
    <w:rsid w:val="00361D13"/>
    <w:rsid w:val="0037395D"/>
    <w:rsid w:val="0037406B"/>
    <w:rsid w:val="003748D4"/>
    <w:rsid w:val="003777C6"/>
    <w:rsid w:val="00380309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B10F4"/>
    <w:rsid w:val="003B17A5"/>
    <w:rsid w:val="003B24CC"/>
    <w:rsid w:val="003B4D17"/>
    <w:rsid w:val="003B4E49"/>
    <w:rsid w:val="003C1C12"/>
    <w:rsid w:val="003C3749"/>
    <w:rsid w:val="003C4178"/>
    <w:rsid w:val="003C476B"/>
    <w:rsid w:val="003C5509"/>
    <w:rsid w:val="003C5BF0"/>
    <w:rsid w:val="00400E41"/>
    <w:rsid w:val="00403C1B"/>
    <w:rsid w:val="004122F8"/>
    <w:rsid w:val="004133DD"/>
    <w:rsid w:val="00414B21"/>
    <w:rsid w:val="00414E00"/>
    <w:rsid w:val="00436988"/>
    <w:rsid w:val="00437D77"/>
    <w:rsid w:val="004453F2"/>
    <w:rsid w:val="00447893"/>
    <w:rsid w:val="00453976"/>
    <w:rsid w:val="00463132"/>
    <w:rsid w:val="0046673A"/>
    <w:rsid w:val="004757A4"/>
    <w:rsid w:val="004934F8"/>
    <w:rsid w:val="00495466"/>
    <w:rsid w:val="004A1271"/>
    <w:rsid w:val="004A1BA2"/>
    <w:rsid w:val="004B368A"/>
    <w:rsid w:val="004B7613"/>
    <w:rsid w:val="004C0F36"/>
    <w:rsid w:val="004C14F5"/>
    <w:rsid w:val="004C1952"/>
    <w:rsid w:val="004D0A5E"/>
    <w:rsid w:val="004D1E48"/>
    <w:rsid w:val="004D3E99"/>
    <w:rsid w:val="004D6CEF"/>
    <w:rsid w:val="004D7E17"/>
    <w:rsid w:val="004E3A00"/>
    <w:rsid w:val="004E5029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1508"/>
    <w:rsid w:val="005118CE"/>
    <w:rsid w:val="00512D69"/>
    <w:rsid w:val="00512E44"/>
    <w:rsid w:val="00512FDD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524EB"/>
    <w:rsid w:val="00552944"/>
    <w:rsid w:val="005544F1"/>
    <w:rsid w:val="00556244"/>
    <w:rsid w:val="0056093E"/>
    <w:rsid w:val="00560ED5"/>
    <w:rsid w:val="00561F10"/>
    <w:rsid w:val="005624EF"/>
    <w:rsid w:val="0056367A"/>
    <w:rsid w:val="0056407A"/>
    <w:rsid w:val="00565BD2"/>
    <w:rsid w:val="0057059D"/>
    <w:rsid w:val="0057617F"/>
    <w:rsid w:val="0058000E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268B"/>
    <w:rsid w:val="005C5616"/>
    <w:rsid w:val="005D4307"/>
    <w:rsid w:val="005D5E37"/>
    <w:rsid w:val="005D60D5"/>
    <w:rsid w:val="005D7F00"/>
    <w:rsid w:val="005E0943"/>
    <w:rsid w:val="005E0A6F"/>
    <w:rsid w:val="005E37D5"/>
    <w:rsid w:val="005E3D5C"/>
    <w:rsid w:val="005E4EE1"/>
    <w:rsid w:val="005E77F7"/>
    <w:rsid w:val="005E7D88"/>
    <w:rsid w:val="005F33E0"/>
    <w:rsid w:val="005F5E45"/>
    <w:rsid w:val="005F6E18"/>
    <w:rsid w:val="005F6FB8"/>
    <w:rsid w:val="00605A93"/>
    <w:rsid w:val="00607DBC"/>
    <w:rsid w:val="00626A5D"/>
    <w:rsid w:val="00634CB6"/>
    <w:rsid w:val="00635925"/>
    <w:rsid w:val="00635BE6"/>
    <w:rsid w:val="00640259"/>
    <w:rsid w:val="006415C1"/>
    <w:rsid w:val="00645F18"/>
    <w:rsid w:val="00655E80"/>
    <w:rsid w:val="00660A61"/>
    <w:rsid w:val="00660EF0"/>
    <w:rsid w:val="006623E5"/>
    <w:rsid w:val="00670D67"/>
    <w:rsid w:val="00687DC0"/>
    <w:rsid w:val="00692FFB"/>
    <w:rsid w:val="00695983"/>
    <w:rsid w:val="006A26F9"/>
    <w:rsid w:val="006A5B68"/>
    <w:rsid w:val="006C2E4F"/>
    <w:rsid w:val="006C331B"/>
    <w:rsid w:val="006C5E68"/>
    <w:rsid w:val="006C6874"/>
    <w:rsid w:val="006D4DDD"/>
    <w:rsid w:val="006E36FF"/>
    <w:rsid w:val="006E6813"/>
    <w:rsid w:val="006E712A"/>
    <w:rsid w:val="006F0B17"/>
    <w:rsid w:val="006F4B70"/>
    <w:rsid w:val="006F53B5"/>
    <w:rsid w:val="006F79CA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4241"/>
    <w:rsid w:val="007740C9"/>
    <w:rsid w:val="00776158"/>
    <w:rsid w:val="0077746E"/>
    <w:rsid w:val="0077775A"/>
    <w:rsid w:val="00782A34"/>
    <w:rsid w:val="007845AB"/>
    <w:rsid w:val="0078712E"/>
    <w:rsid w:val="00787A82"/>
    <w:rsid w:val="00794529"/>
    <w:rsid w:val="00795D25"/>
    <w:rsid w:val="00796F68"/>
    <w:rsid w:val="00797D16"/>
    <w:rsid w:val="007A0D18"/>
    <w:rsid w:val="007A4989"/>
    <w:rsid w:val="007A49B9"/>
    <w:rsid w:val="007B1C4D"/>
    <w:rsid w:val="007B44E6"/>
    <w:rsid w:val="007B7AC5"/>
    <w:rsid w:val="007C5648"/>
    <w:rsid w:val="007C6DBB"/>
    <w:rsid w:val="007C6FE8"/>
    <w:rsid w:val="007D2498"/>
    <w:rsid w:val="007E7C5E"/>
    <w:rsid w:val="00800DCE"/>
    <w:rsid w:val="00805FDD"/>
    <w:rsid w:val="008120C1"/>
    <w:rsid w:val="00830F51"/>
    <w:rsid w:val="0083765A"/>
    <w:rsid w:val="00841D39"/>
    <w:rsid w:val="008447D4"/>
    <w:rsid w:val="00845B06"/>
    <w:rsid w:val="00845FD8"/>
    <w:rsid w:val="00846769"/>
    <w:rsid w:val="00847219"/>
    <w:rsid w:val="008517B1"/>
    <w:rsid w:val="00851844"/>
    <w:rsid w:val="00851AA7"/>
    <w:rsid w:val="00861B72"/>
    <w:rsid w:val="00865B1F"/>
    <w:rsid w:val="0086672B"/>
    <w:rsid w:val="008836FE"/>
    <w:rsid w:val="00886306"/>
    <w:rsid w:val="00886E37"/>
    <w:rsid w:val="00890531"/>
    <w:rsid w:val="00891587"/>
    <w:rsid w:val="00895E89"/>
    <w:rsid w:val="0089659F"/>
    <w:rsid w:val="008969D4"/>
    <w:rsid w:val="008973AE"/>
    <w:rsid w:val="008B1D41"/>
    <w:rsid w:val="008B5E09"/>
    <w:rsid w:val="008B64BE"/>
    <w:rsid w:val="008C058A"/>
    <w:rsid w:val="008C5A38"/>
    <w:rsid w:val="008D097B"/>
    <w:rsid w:val="008D2358"/>
    <w:rsid w:val="008D5DF2"/>
    <w:rsid w:val="008D66F7"/>
    <w:rsid w:val="008E275E"/>
    <w:rsid w:val="008E2D88"/>
    <w:rsid w:val="008F2484"/>
    <w:rsid w:val="008F276A"/>
    <w:rsid w:val="008F29EE"/>
    <w:rsid w:val="00902DC4"/>
    <w:rsid w:val="00903609"/>
    <w:rsid w:val="00904D65"/>
    <w:rsid w:val="00905CBA"/>
    <w:rsid w:val="00917619"/>
    <w:rsid w:val="00923314"/>
    <w:rsid w:val="00950A40"/>
    <w:rsid w:val="00950E5C"/>
    <w:rsid w:val="00956F80"/>
    <w:rsid w:val="00957A32"/>
    <w:rsid w:val="00964933"/>
    <w:rsid w:val="00966D0E"/>
    <w:rsid w:val="0097427A"/>
    <w:rsid w:val="00984DE9"/>
    <w:rsid w:val="009907C9"/>
    <w:rsid w:val="00991D6C"/>
    <w:rsid w:val="00996B3E"/>
    <w:rsid w:val="009A1A29"/>
    <w:rsid w:val="009A2C9A"/>
    <w:rsid w:val="009A3CDB"/>
    <w:rsid w:val="009A601C"/>
    <w:rsid w:val="009B0ECC"/>
    <w:rsid w:val="009B5583"/>
    <w:rsid w:val="009C2B5A"/>
    <w:rsid w:val="009C7CA5"/>
    <w:rsid w:val="009D234D"/>
    <w:rsid w:val="009D3410"/>
    <w:rsid w:val="009E088A"/>
    <w:rsid w:val="009E4532"/>
    <w:rsid w:val="009E5154"/>
    <w:rsid w:val="009E51F5"/>
    <w:rsid w:val="009E65FB"/>
    <w:rsid w:val="009F1227"/>
    <w:rsid w:val="009F2E29"/>
    <w:rsid w:val="009F3381"/>
    <w:rsid w:val="009F5251"/>
    <w:rsid w:val="00A1070B"/>
    <w:rsid w:val="00A12547"/>
    <w:rsid w:val="00A14C9D"/>
    <w:rsid w:val="00A16380"/>
    <w:rsid w:val="00A174D1"/>
    <w:rsid w:val="00A21E89"/>
    <w:rsid w:val="00A26311"/>
    <w:rsid w:val="00A319E7"/>
    <w:rsid w:val="00A32A4B"/>
    <w:rsid w:val="00A32A88"/>
    <w:rsid w:val="00A34AA6"/>
    <w:rsid w:val="00A34ABB"/>
    <w:rsid w:val="00A376CD"/>
    <w:rsid w:val="00A403AB"/>
    <w:rsid w:val="00A4198E"/>
    <w:rsid w:val="00A574F4"/>
    <w:rsid w:val="00A62639"/>
    <w:rsid w:val="00A63B56"/>
    <w:rsid w:val="00A71FAA"/>
    <w:rsid w:val="00A76E56"/>
    <w:rsid w:val="00A83282"/>
    <w:rsid w:val="00A83584"/>
    <w:rsid w:val="00A83CFD"/>
    <w:rsid w:val="00A90584"/>
    <w:rsid w:val="00A927A9"/>
    <w:rsid w:val="00A94400"/>
    <w:rsid w:val="00A97D1A"/>
    <w:rsid w:val="00AA2D76"/>
    <w:rsid w:val="00AA7579"/>
    <w:rsid w:val="00AB1567"/>
    <w:rsid w:val="00AB1A83"/>
    <w:rsid w:val="00AB291E"/>
    <w:rsid w:val="00AB5658"/>
    <w:rsid w:val="00AB682B"/>
    <w:rsid w:val="00AB7EAC"/>
    <w:rsid w:val="00AC0D54"/>
    <w:rsid w:val="00AC3F13"/>
    <w:rsid w:val="00AC6F1C"/>
    <w:rsid w:val="00AD0BF2"/>
    <w:rsid w:val="00AD24C5"/>
    <w:rsid w:val="00AD4615"/>
    <w:rsid w:val="00AD5C42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526C"/>
    <w:rsid w:val="00B43276"/>
    <w:rsid w:val="00B43FD6"/>
    <w:rsid w:val="00B52813"/>
    <w:rsid w:val="00B63F5D"/>
    <w:rsid w:val="00B65304"/>
    <w:rsid w:val="00B66D90"/>
    <w:rsid w:val="00B705FE"/>
    <w:rsid w:val="00B74431"/>
    <w:rsid w:val="00B75368"/>
    <w:rsid w:val="00B8040C"/>
    <w:rsid w:val="00B945C8"/>
    <w:rsid w:val="00BA0C37"/>
    <w:rsid w:val="00BA30CE"/>
    <w:rsid w:val="00BA7E0D"/>
    <w:rsid w:val="00BB1E51"/>
    <w:rsid w:val="00BB2B44"/>
    <w:rsid w:val="00BD1625"/>
    <w:rsid w:val="00BD70BB"/>
    <w:rsid w:val="00BE4CA8"/>
    <w:rsid w:val="00BE5685"/>
    <w:rsid w:val="00BE5E7B"/>
    <w:rsid w:val="00BE77F3"/>
    <w:rsid w:val="00BF6018"/>
    <w:rsid w:val="00BF6A1D"/>
    <w:rsid w:val="00BF7376"/>
    <w:rsid w:val="00C01E95"/>
    <w:rsid w:val="00C04601"/>
    <w:rsid w:val="00C11402"/>
    <w:rsid w:val="00C16269"/>
    <w:rsid w:val="00C21DD1"/>
    <w:rsid w:val="00C324D3"/>
    <w:rsid w:val="00C367BB"/>
    <w:rsid w:val="00C40090"/>
    <w:rsid w:val="00C556E8"/>
    <w:rsid w:val="00C71474"/>
    <w:rsid w:val="00C81730"/>
    <w:rsid w:val="00C91A01"/>
    <w:rsid w:val="00C934AF"/>
    <w:rsid w:val="00CA1FA0"/>
    <w:rsid w:val="00CA54FB"/>
    <w:rsid w:val="00CA7AD1"/>
    <w:rsid w:val="00CB1324"/>
    <w:rsid w:val="00CB2929"/>
    <w:rsid w:val="00CB3109"/>
    <w:rsid w:val="00CB5A05"/>
    <w:rsid w:val="00CC12A4"/>
    <w:rsid w:val="00CD3AB7"/>
    <w:rsid w:val="00CD7242"/>
    <w:rsid w:val="00CE4766"/>
    <w:rsid w:val="00CE6D0E"/>
    <w:rsid w:val="00CF65DC"/>
    <w:rsid w:val="00D023DD"/>
    <w:rsid w:val="00D075C1"/>
    <w:rsid w:val="00D129F2"/>
    <w:rsid w:val="00D22770"/>
    <w:rsid w:val="00D23685"/>
    <w:rsid w:val="00D26F0D"/>
    <w:rsid w:val="00D324C7"/>
    <w:rsid w:val="00D41CF9"/>
    <w:rsid w:val="00D44024"/>
    <w:rsid w:val="00D44D6E"/>
    <w:rsid w:val="00D5410E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3F5B"/>
    <w:rsid w:val="00DA4592"/>
    <w:rsid w:val="00DA6DDF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53BB"/>
    <w:rsid w:val="00DF1DCF"/>
    <w:rsid w:val="00DF6078"/>
    <w:rsid w:val="00DF725C"/>
    <w:rsid w:val="00E018CE"/>
    <w:rsid w:val="00E03360"/>
    <w:rsid w:val="00E1485B"/>
    <w:rsid w:val="00E26939"/>
    <w:rsid w:val="00E32EDE"/>
    <w:rsid w:val="00E34658"/>
    <w:rsid w:val="00E5054D"/>
    <w:rsid w:val="00E543DB"/>
    <w:rsid w:val="00E63D62"/>
    <w:rsid w:val="00E65584"/>
    <w:rsid w:val="00E71AFA"/>
    <w:rsid w:val="00E95DF0"/>
    <w:rsid w:val="00E96E8E"/>
    <w:rsid w:val="00EA2D57"/>
    <w:rsid w:val="00EA55CE"/>
    <w:rsid w:val="00EA75F0"/>
    <w:rsid w:val="00EB2E62"/>
    <w:rsid w:val="00EB35E2"/>
    <w:rsid w:val="00EB3B29"/>
    <w:rsid w:val="00EC37D5"/>
    <w:rsid w:val="00EC4B20"/>
    <w:rsid w:val="00ED1E6C"/>
    <w:rsid w:val="00ED3171"/>
    <w:rsid w:val="00ED402C"/>
    <w:rsid w:val="00ED5287"/>
    <w:rsid w:val="00ED5987"/>
    <w:rsid w:val="00ED7181"/>
    <w:rsid w:val="00EF00BC"/>
    <w:rsid w:val="00EF07B0"/>
    <w:rsid w:val="00EF1F6B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26474"/>
    <w:rsid w:val="00F2741D"/>
    <w:rsid w:val="00F463B4"/>
    <w:rsid w:val="00F500B0"/>
    <w:rsid w:val="00F549B6"/>
    <w:rsid w:val="00F60CEE"/>
    <w:rsid w:val="00F63436"/>
    <w:rsid w:val="00F64343"/>
    <w:rsid w:val="00F7300F"/>
    <w:rsid w:val="00F744A4"/>
    <w:rsid w:val="00F76DEC"/>
    <w:rsid w:val="00F851E9"/>
    <w:rsid w:val="00F901CF"/>
    <w:rsid w:val="00F911AD"/>
    <w:rsid w:val="00F93427"/>
    <w:rsid w:val="00FA0541"/>
    <w:rsid w:val="00FA3567"/>
    <w:rsid w:val="00FA38A5"/>
    <w:rsid w:val="00FB2BC9"/>
    <w:rsid w:val="00FB2D51"/>
    <w:rsid w:val="00FB3D0E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1573B0BC"/>
    <w:rsid w:val="1EEDE241"/>
    <w:rsid w:val="3FAF8E86"/>
    <w:rsid w:val="49A1F5CB"/>
    <w:rsid w:val="5FAE606F"/>
    <w:rsid w:val="DBD75B21"/>
    <w:rsid w:val="DFDFD962"/>
    <w:rsid w:val="E227ABFE"/>
    <w:rsid w:val="F7AB5EB1"/>
    <w:rsid w:val="F80F4574"/>
    <w:rsid w:val="FF5FBA16"/>
    <w:rsid w:val="FFA7C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60" w:line="288" w:lineRule="auto"/>
      <w:jc w:val="both"/>
    </w:pPr>
    <w:rPr>
      <w:rFonts w:ascii="Times New Roman" w:hAnsi="Times New Roman" w:eastAsia="Times New Roman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9"/>
    <w:qFormat/>
    <w:uiPriority w:val="9"/>
    <w:pPr>
      <w:keepNext/>
      <w:keepLines/>
      <w:spacing w:before="240" w:after="120"/>
      <w:outlineLvl w:val="0"/>
    </w:pPr>
    <w:rPr>
      <w:rFonts w:ascii="Arial" w:hAnsi="Arial" w:eastAsia="Arial" w:cs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6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6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link w:val="23"/>
    <w:uiPriority w:val="0"/>
    <w:pPr>
      <w:ind w:firstLine="420"/>
    </w:pPr>
    <w:rPr>
      <w:rFonts w:eastAsia="宋体"/>
      <w:szCs w:val="20"/>
      <w:lang w:val="zh-CN" w:eastAsia="zh-CN"/>
    </w:rPr>
  </w:style>
  <w:style w:type="paragraph" w:styleId="8">
    <w:name w:val="annotation text"/>
    <w:basedOn w:val="1"/>
    <w:link w:val="41"/>
    <w:unhideWhenUsed/>
    <w:uiPriority w:val="99"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9">
    <w:name w:val="Body Text"/>
    <w:basedOn w:val="1"/>
    <w:link w:val="42"/>
    <w:uiPriority w:val="0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10">
    <w:name w:val="List 2"/>
    <w:basedOn w:val="11"/>
    <w:semiHidden/>
    <w:qFormat/>
    <w:uiPriority w:val="0"/>
    <w:pPr>
      <w:ind w:left="851"/>
    </w:pPr>
  </w:style>
  <w:style w:type="paragraph" w:styleId="11">
    <w:name w:val="List"/>
    <w:basedOn w:val="1"/>
    <w:semiHidden/>
    <w:qFormat/>
    <w:uiPriority w:val="0"/>
    <w:pPr>
      <w:ind w:left="568" w:hanging="284"/>
    </w:pPr>
  </w:style>
  <w:style w:type="paragraph" w:styleId="12">
    <w:name w:val="Date"/>
    <w:basedOn w:val="1"/>
    <w:next w:val="1"/>
    <w:link w:val="47"/>
    <w:semiHidden/>
    <w:unhideWhenUsed/>
    <w:uiPriority w:val="99"/>
    <w:pPr>
      <w:widowControl/>
      <w:spacing w:after="180"/>
      <w:ind w:left="100" w:leftChars="25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13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4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2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semiHidden/>
    <w:unhideWhenUsed/>
    <w:uiPriority w:val="99"/>
    <w:rPr>
      <w:sz w:val="24"/>
    </w:rPr>
  </w:style>
  <w:style w:type="paragraph" w:styleId="17">
    <w:name w:val="Title"/>
    <w:basedOn w:val="1"/>
    <w:next w:val="1"/>
    <w:link w:val="50"/>
    <w:qFormat/>
    <w:uiPriority w:val="10"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18">
    <w:name w:val="annotation subject"/>
    <w:basedOn w:val="8"/>
    <w:next w:val="8"/>
    <w:link w:val="58"/>
    <w:semiHidden/>
    <w:unhideWhenUsed/>
    <w:uiPriority w:val="99"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annotation reference"/>
    <w:semiHidden/>
    <w:unhideWhenUsed/>
    <w:uiPriority w:val="99"/>
    <w:rPr>
      <w:sz w:val="21"/>
      <w:szCs w:val="21"/>
    </w:rPr>
  </w:style>
  <w:style w:type="character" w:customStyle="1" w:styleId="23">
    <w:name w:val="正文缩进 字符"/>
    <w:link w:val="7"/>
    <w:locked/>
    <w:uiPriority w:val="0"/>
    <w:rPr>
      <w:rFonts w:ascii="Times New Roman" w:hAnsi="Times New Roman" w:eastAsia="宋体" w:cs="Times New Roman"/>
      <w:szCs w:val="20"/>
      <w:lang w:val="zh-CN" w:eastAsia="zh-CN"/>
    </w:rPr>
  </w:style>
  <w:style w:type="character" w:customStyle="1" w:styleId="24">
    <w:name w:val="页眉 字符"/>
    <w:basedOn w:val="21"/>
    <w:link w:val="15"/>
    <w:uiPriority w:val="99"/>
    <w:rPr>
      <w:sz w:val="18"/>
      <w:szCs w:val="18"/>
    </w:rPr>
  </w:style>
  <w:style w:type="character" w:customStyle="1" w:styleId="25">
    <w:name w:val="页脚 字符"/>
    <w:basedOn w:val="21"/>
    <w:link w:val="14"/>
    <w:uiPriority w:val="99"/>
    <w:rPr>
      <w:sz w:val="18"/>
      <w:szCs w:val="18"/>
    </w:rPr>
  </w:style>
  <w:style w:type="paragraph" w:styleId="26">
    <w:name w:val="List Paragraph"/>
    <w:basedOn w:val="1"/>
    <w:link w:val="27"/>
    <w:qFormat/>
    <w:uiPriority w:val="34"/>
    <w:pPr>
      <w:ind w:firstLine="420" w:firstLineChars="200"/>
    </w:pPr>
  </w:style>
  <w:style w:type="character" w:customStyle="1" w:styleId="27">
    <w:name w:val="列表段落 字符"/>
    <w:link w:val="26"/>
    <w:qFormat/>
    <w:locked/>
    <w:uiPriority w:val="34"/>
  </w:style>
  <w:style w:type="paragraph" w:customStyle="1" w:styleId="28">
    <w:name w:val="H6"/>
    <w:basedOn w:val="6"/>
    <w:next w:val="1"/>
    <w:link w:val="29"/>
    <w:uiPriority w:val="0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hAnsi="Arial" w:eastAsia="宋体"/>
      <w:b w:val="0"/>
      <w:bCs w:val="0"/>
      <w:kern w:val="0"/>
      <w:sz w:val="20"/>
      <w:szCs w:val="18"/>
      <w:lang w:val="sv-SE"/>
    </w:rPr>
  </w:style>
  <w:style w:type="character" w:customStyle="1" w:styleId="29">
    <w:name w:val="H6 Char"/>
    <w:link w:val="28"/>
    <w:uiPriority w:val="0"/>
    <w:rPr>
      <w:rFonts w:ascii="Arial" w:hAnsi="Arial" w:eastAsia="宋体" w:cs="Times New Roman"/>
      <w:kern w:val="0"/>
      <w:sz w:val="20"/>
      <w:szCs w:val="18"/>
      <w:lang w:val="sv-SE"/>
    </w:rPr>
  </w:style>
  <w:style w:type="character" w:customStyle="1" w:styleId="30">
    <w:name w:val="标题 5 字符"/>
    <w:basedOn w:val="21"/>
    <w:link w:val="6"/>
    <w:semiHidden/>
    <w:uiPriority w:val="9"/>
    <w:rPr>
      <w:b/>
      <w:bCs/>
      <w:sz w:val="28"/>
      <w:szCs w:val="28"/>
    </w:rPr>
  </w:style>
  <w:style w:type="paragraph" w:customStyle="1" w:styleId="31">
    <w:name w:val="3GPP 正文"/>
    <w:basedOn w:val="1"/>
    <w:link w:val="32"/>
    <w:qFormat/>
    <w:uiPriority w:val="0"/>
    <w:pPr>
      <w:widowControl/>
      <w:spacing w:after="180"/>
      <w:jc w:val="left"/>
    </w:pPr>
    <w:rPr>
      <w:kern w:val="0"/>
      <w:sz w:val="20"/>
      <w:lang w:val="en-GB" w:eastAsia="ja-JP"/>
    </w:rPr>
  </w:style>
  <w:style w:type="character" w:customStyle="1" w:styleId="32">
    <w:name w:val="3GPP 正文 Char"/>
    <w:link w:val="31"/>
    <w:qFormat/>
    <w:uiPriority w:val="0"/>
    <w:rPr>
      <w:kern w:val="0"/>
      <w:sz w:val="20"/>
      <w:lang w:val="en-GB" w:eastAsia="ja-JP"/>
    </w:rPr>
  </w:style>
  <w:style w:type="character" w:customStyle="1" w:styleId="33">
    <w:name w:val="标题 2 字符"/>
    <w:basedOn w:val="2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批注框文本 字符"/>
    <w:basedOn w:val="21"/>
    <w:link w:val="13"/>
    <w:semiHidden/>
    <w:uiPriority w:val="99"/>
    <w:rPr>
      <w:sz w:val="18"/>
      <w:szCs w:val="18"/>
    </w:rPr>
  </w:style>
  <w:style w:type="character" w:customStyle="1" w:styleId="35">
    <w:name w:val="TH Char"/>
    <w:link w:val="36"/>
    <w:qFormat/>
    <w:uiPriority w:val="0"/>
    <w:rPr>
      <w:rFonts w:ascii="Arial" w:hAnsi="Arial"/>
      <w:b/>
      <w:lang w:val="en-GB" w:eastAsia="en-US"/>
    </w:rPr>
  </w:style>
  <w:style w:type="paragraph" w:customStyle="1" w:styleId="36">
    <w:name w:val="TH"/>
    <w:basedOn w:val="1"/>
    <w:link w:val="35"/>
    <w:qFormat/>
    <w:uiPriority w:val="0"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37">
    <w:name w:val="TF"/>
    <w:basedOn w:val="36"/>
    <w:link w:val="38"/>
    <w:qFormat/>
    <w:uiPriority w:val="0"/>
    <w:pPr>
      <w:keepNext w:val="0"/>
      <w:spacing w:before="0" w:after="240"/>
    </w:pPr>
  </w:style>
  <w:style w:type="character" w:customStyle="1" w:styleId="38">
    <w:name w:val="TF Char"/>
    <w:link w:val="37"/>
    <w:qFormat/>
    <w:uiPriority w:val="0"/>
    <w:rPr>
      <w:rFonts w:ascii="Arial" w:hAnsi="Arial"/>
      <w:b/>
      <w:lang w:val="en-GB" w:eastAsia="en-US"/>
    </w:rPr>
  </w:style>
  <w:style w:type="paragraph" w:customStyle="1" w:styleId="39">
    <w:name w:val="Agreement"/>
    <w:basedOn w:val="1"/>
    <w:next w:val="1"/>
    <w:qFormat/>
    <w:uiPriority w:val="0"/>
    <w:pPr>
      <w:widowControl/>
      <w:numPr>
        <w:ilvl w:val="0"/>
        <w:numId w:val="1"/>
      </w:numPr>
      <w:spacing w:before="60" w:line="259" w:lineRule="auto"/>
      <w:jc w:val="left"/>
    </w:pPr>
    <w:rPr>
      <w:rFonts w:ascii="Arial" w:hAnsi="Arial" w:eastAsia="MS Mincho"/>
      <w:b/>
      <w:kern w:val="0"/>
      <w:sz w:val="20"/>
      <w:szCs w:val="24"/>
      <w:lang w:val="en-GB" w:eastAsia="en-GB"/>
    </w:rPr>
  </w:style>
  <w:style w:type="character" w:customStyle="1" w:styleId="40">
    <w:name w:val="列出段落 字符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41">
    <w:name w:val="批注文字 字符"/>
    <w:basedOn w:val="21"/>
    <w:link w:val="8"/>
    <w:uiPriority w:val="99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42">
    <w:name w:val="正文文本 字符"/>
    <w:basedOn w:val="21"/>
    <w:link w:val="9"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paragraph" w:customStyle="1" w:styleId="43">
    <w:name w:val="R4_bullets"/>
    <w:basedOn w:val="1"/>
    <w:next w:val="26"/>
    <w:link w:val="44"/>
    <w:uiPriority w:val="34"/>
    <w:pPr>
      <w:widowControl/>
      <w:spacing w:after="180"/>
      <w:ind w:firstLine="420" w:firstLineChars="200"/>
      <w:jc w:val="left"/>
    </w:pPr>
    <w:rPr>
      <w:lang w:val="en-GB" w:eastAsia="en-US"/>
    </w:rPr>
  </w:style>
  <w:style w:type="character" w:customStyle="1" w:styleId="44">
    <w:name w:val="列出段落 Char"/>
    <w:link w:val="43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45">
    <w:name w:val="_Style 38"/>
    <w:basedOn w:val="1"/>
    <w:next w:val="26"/>
    <w:qFormat/>
    <w:uiPriority w:val="34"/>
    <w:pPr>
      <w:widowControl/>
      <w:spacing w:after="180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46">
    <w:name w:val="日期 字符"/>
    <w:basedOn w:val="21"/>
    <w:semiHidden/>
    <w:uiPriority w:val="99"/>
  </w:style>
  <w:style w:type="character" w:customStyle="1" w:styleId="47">
    <w:name w:val="日期 字符1"/>
    <w:link w:val="12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paragraph" w:customStyle="1" w:styleId="48">
    <w:name w:val="_Style 42"/>
    <w:basedOn w:val="1"/>
    <w:next w:val="26"/>
    <w:qFormat/>
    <w:uiPriority w:val="34"/>
    <w:pPr>
      <w:widowControl/>
      <w:spacing w:after="180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49">
    <w:name w:val="No Spacing"/>
    <w:qFormat/>
    <w:uiPriority w:val="1"/>
    <w:pPr>
      <w:widowControl w:val="0"/>
      <w:spacing w:line="264" w:lineRule="auto"/>
      <w:jc w:val="both"/>
    </w:pPr>
    <w:rPr>
      <w:rFonts w:ascii="Times New Roman" w:hAnsi="Times New Roman" w:eastAsia="Times New Roman" w:cs="Times New Roman"/>
      <w:kern w:val="2"/>
      <w:sz w:val="21"/>
      <w:szCs w:val="21"/>
      <w:lang w:val="en-US" w:eastAsia="zh-CN" w:bidi="ar-SA"/>
    </w:rPr>
  </w:style>
  <w:style w:type="character" w:customStyle="1" w:styleId="50">
    <w:name w:val="标题 字符"/>
    <w:basedOn w:val="21"/>
    <w:link w:val="17"/>
    <w:uiPriority w:val="10"/>
    <w:rPr>
      <w:rFonts w:eastAsia="Times New Roman" w:asciiTheme="majorHAnsi" w:hAnsiTheme="majorHAnsi" w:cstheme="majorBidi"/>
      <w:b/>
      <w:bCs/>
      <w:sz w:val="22"/>
      <w:szCs w:val="32"/>
    </w:rPr>
  </w:style>
  <w:style w:type="paragraph" w:customStyle="1" w:styleId="51">
    <w:name w:val="_Style 46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52">
    <w:name w:val="src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3">
    <w:name w:val="正文首段"/>
    <w:basedOn w:val="1"/>
    <w:qFormat/>
    <w:uiPriority w:val="0"/>
    <w:pPr>
      <w:spacing w:before="60"/>
    </w:pPr>
  </w:style>
  <w:style w:type="paragraph" w:customStyle="1" w:styleId="54">
    <w:name w:val="Revision"/>
    <w:hidden/>
    <w:semiHidden/>
    <w:uiPriority w:val="99"/>
    <w:rPr>
      <w:rFonts w:ascii="Times New Roman" w:hAnsi="Times New Roman" w:eastAsia="Times New Roman" w:cs="Times New Roman"/>
      <w:kern w:val="2"/>
      <w:sz w:val="21"/>
      <w:szCs w:val="21"/>
      <w:lang w:val="en-US" w:eastAsia="zh-CN" w:bidi="ar-SA"/>
    </w:rPr>
  </w:style>
  <w:style w:type="paragraph" w:customStyle="1" w:styleId="55">
    <w:name w:val="_Style 50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56">
    <w:name w:val="_Style 51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57">
    <w:name w:val="_Style 52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58">
    <w:name w:val="批注主题 字符"/>
    <w:basedOn w:val="41"/>
    <w:link w:val="18"/>
    <w:semiHidden/>
    <w:uiPriority w:val="99"/>
    <w:rPr>
      <w:rFonts w:ascii="Times New Roman" w:hAnsi="Times New Roman" w:eastAsia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59">
    <w:name w:val="标题 1 字符"/>
    <w:basedOn w:val="21"/>
    <w:link w:val="2"/>
    <w:uiPriority w:val="9"/>
    <w:rPr>
      <w:rFonts w:ascii="Arial" w:hAnsi="Arial" w:eastAsia="Arial" w:cs="Arial"/>
      <w:b/>
      <w:bCs/>
      <w:kern w:val="44"/>
      <w:sz w:val="44"/>
      <w:szCs w:val="44"/>
    </w:rPr>
  </w:style>
  <w:style w:type="character" w:customStyle="1" w:styleId="60">
    <w:name w:val="标题 3 字符"/>
    <w:basedOn w:val="21"/>
    <w:link w:val="4"/>
    <w:semiHidden/>
    <w:uiPriority w:val="9"/>
    <w:rPr>
      <w:rFonts w:ascii="Times New Roman" w:hAnsi="Times New Roman" w:eastAsia="Times New Roman" w:cs="Times New Roman"/>
      <w:b/>
      <w:bCs/>
      <w:sz w:val="32"/>
      <w:szCs w:val="32"/>
    </w:rPr>
  </w:style>
  <w:style w:type="character" w:customStyle="1" w:styleId="61">
    <w:name w:val="标题 4 字符"/>
    <w:basedOn w:val="21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62">
    <w:name w:val="TAC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63">
    <w:name w:val="TAC Char"/>
    <w:link w:val="62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GB"/>
    </w:rPr>
  </w:style>
  <w:style w:type="paragraph" w:customStyle="1" w:styleId="64">
    <w:name w:val="TAN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65">
    <w:name w:val="TAN Char"/>
    <w:link w:val="6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GB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B2"/>
    <w:basedOn w:val="10"/>
    <w:qFormat/>
    <w:uiPriority w:val="0"/>
  </w:style>
  <w:style w:type="paragraph" w:customStyle="1" w:styleId="68">
    <w:name w:val="表格内"/>
    <w:basedOn w:val="1"/>
    <w:uiPriority w:val="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1364</Words>
  <Characters>7781</Characters>
  <Lines>1</Lines>
  <Paragraphs>1</Paragraphs>
  <TotalTime>11</TotalTime>
  <ScaleCrop>false</ScaleCrop>
  <LinksUpToDate>false</LinksUpToDate>
  <CharactersWithSpaces>9127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2023-02-18T00:26:00Z</dcterms:created>
  <dc:creator>Weichen Ning</dc:creator>
  <cp:lastModifiedBy>China Telecom</cp:lastModifiedBy>
  <cp:lastPrinted>2023-04-07T01:16:00Z</cp:lastPrinted>
  <dcterms:modified xsi:type="dcterms:W3CDTF">2024-04-08T17:12:49Z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